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184" w:rsidRDefault="005A5184" w:rsidP="005A5184">
      <w:pPr>
        <w:tabs>
          <w:tab w:val="num" w:pos="720"/>
        </w:tabs>
        <w:spacing w:after="160" w:line="254" w:lineRule="auto"/>
        <w:jc w:val="both"/>
        <w:rPr>
          <w:rFonts w:asciiTheme="minorHAnsi" w:hAnsiTheme="minorHAnsi" w:cstheme="minorBidi"/>
          <w:bCs/>
        </w:rPr>
      </w:pPr>
      <w:r w:rsidRPr="00A735F8">
        <w:rPr>
          <w:rFonts w:ascii="Arial" w:hAnsi="Arial" w:cs="Arial"/>
          <w:noProof/>
          <w:sz w:val="24"/>
          <w:szCs w:val="24"/>
          <w:lang w:eastAsia="fr-FR"/>
        </w:rPr>
        <w:drawing>
          <wp:anchor distT="0" distB="0" distL="114300" distR="123190" simplePos="0" relativeHeight="251659264" behindDoc="0" locked="0" layoutInCell="1" allowOverlap="1" wp14:anchorId="567A5F7F" wp14:editId="2FAE6E7E">
            <wp:simplePos x="0" y="0"/>
            <wp:positionH relativeFrom="column">
              <wp:posOffset>-129540</wp:posOffset>
            </wp:positionH>
            <wp:positionV relativeFrom="paragraph">
              <wp:posOffset>-509033</wp:posOffset>
            </wp:positionV>
            <wp:extent cx="1965960" cy="1102360"/>
            <wp:effectExtent l="0" t="0" r="0"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5960" cy="1102360"/>
                    </a:xfrm>
                    <a:prstGeom prst="rect">
                      <a:avLst/>
                    </a:prstGeom>
                    <a:noFill/>
                  </pic:spPr>
                </pic:pic>
              </a:graphicData>
            </a:graphic>
            <wp14:sizeRelH relativeFrom="margin">
              <wp14:pctWidth>0</wp14:pctWidth>
            </wp14:sizeRelH>
            <wp14:sizeRelV relativeFrom="margin">
              <wp14:pctHeight>0</wp14:pctHeight>
            </wp14:sizeRelV>
          </wp:anchor>
        </w:drawing>
      </w:r>
    </w:p>
    <w:p w:rsidR="005A5184" w:rsidRPr="00A735F8" w:rsidRDefault="005A5184" w:rsidP="005A5184">
      <w:pPr>
        <w:jc w:val="both"/>
        <w:rPr>
          <w:rFonts w:ascii="Arial" w:hAnsi="Arial" w:cs="Arial"/>
        </w:rPr>
      </w:pPr>
    </w:p>
    <w:p w:rsidR="005A5184" w:rsidRDefault="005A5184" w:rsidP="005A5184">
      <w:pPr>
        <w:jc w:val="right"/>
        <w:rPr>
          <w:rFonts w:ascii="Arial" w:hAnsi="Arial" w:cs="Arial"/>
        </w:rPr>
      </w:pPr>
    </w:p>
    <w:p w:rsidR="005A5184" w:rsidRDefault="005A5184" w:rsidP="005A5184">
      <w:pPr>
        <w:jc w:val="right"/>
        <w:rPr>
          <w:rFonts w:ascii="Arial" w:hAnsi="Arial" w:cs="Arial"/>
        </w:rPr>
      </w:pPr>
    </w:p>
    <w:p w:rsidR="005A5184" w:rsidRDefault="005A5184" w:rsidP="005A5184">
      <w:pPr>
        <w:jc w:val="right"/>
        <w:rPr>
          <w:rFonts w:ascii="Arial" w:hAnsi="Arial" w:cs="Arial"/>
        </w:rPr>
      </w:pPr>
    </w:p>
    <w:p w:rsidR="005A5184" w:rsidRDefault="005A5184" w:rsidP="005A5184">
      <w:pPr>
        <w:jc w:val="right"/>
        <w:rPr>
          <w:rFonts w:ascii="Arial" w:hAnsi="Arial" w:cs="Arial"/>
        </w:rPr>
      </w:pPr>
      <w:r w:rsidRPr="00A735F8">
        <w:rPr>
          <w:rFonts w:ascii="Arial" w:hAnsi="Arial" w:cs="Arial"/>
        </w:rPr>
        <w:t xml:space="preserve">Paris le </w:t>
      </w:r>
      <w:r>
        <w:rPr>
          <w:rFonts w:ascii="Arial" w:hAnsi="Arial" w:cs="Arial"/>
        </w:rPr>
        <w:t>4</w:t>
      </w:r>
      <w:r w:rsidRPr="00A735F8">
        <w:rPr>
          <w:rFonts w:ascii="Arial" w:hAnsi="Arial" w:cs="Arial"/>
        </w:rPr>
        <w:t xml:space="preserve"> mars 2021</w:t>
      </w:r>
    </w:p>
    <w:p w:rsidR="00C606DD" w:rsidRDefault="00C606DD" w:rsidP="005A5184">
      <w:pPr>
        <w:jc w:val="right"/>
        <w:rPr>
          <w:rFonts w:ascii="Arial" w:hAnsi="Arial" w:cs="Arial"/>
        </w:rPr>
      </w:pPr>
    </w:p>
    <w:p w:rsidR="005A5184" w:rsidRPr="00A735F8" w:rsidRDefault="005A5184" w:rsidP="005A5184">
      <w:pPr>
        <w:jc w:val="right"/>
        <w:rPr>
          <w:rFonts w:ascii="Arial" w:hAnsi="Arial" w:cs="Arial"/>
        </w:rPr>
      </w:pPr>
    </w:p>
    <w:p w:rsidR="005A5184" w:rsidRDefault="005A5184" w:rsidP="005A5184">
      <w:pPr>
        <w:jc w:val="center"/>
        <w:rPr>
          <w:rFonts w:ascii="Arial" w:hAnsi="Arial" w:cs="Arial"/>
        </w:rPr>
      </w:pPr>
      <w:r w:rsidRPr="00A735F8">
        <w:rPr>
          <w:rFonts w:ascii="Arial" w:hAnsi="Arial" w:cs="Arial"/>
        </w:rPr>
        <w:t xml:space="preserve">COMMUNIQUE DE PRESSE </w:t>
      </w:r>
    </w:p>
    <w:p w:rsidR="005A5184" w:rsidRDefault="005A5184" w:rsidP="005A5184">
      <w:pPr>
        <w:jc w:val="center"/>
        <w:rPr>
          <w:rFonts w:ascii="Arial" w:hAnsi="Arial" w:cs="Arial"/>
        </w:rPr>
      </w:pPr>
    </w:p>
    <w:p w:rsidR="005A5184" w:rsidRDefault="000D0645" w:rsidP="005A5184">
      <w:pPr>
        <w:jc w:val="center"/>
        <w:rPr>
          <w:rFonts w:ascii="Arial" w:hAnsi="Arial" w:cs="Arial"/>
          <w:b/>
        </w:rPr>
      </w:pPr>
      <w:r w:rsidRPr="000D0645">
        <w:rPr>
          <w:rFonts w:ascii="Arial" w:hAnsi="Arial" w:cs="Arial"/>
          <w:b/>
        </w:rPr>
        <w:t xml:space="preserve">Publication du Baromètre MDPH n°2 : des </w:t>
      </w:r>
      <w:r>
        <w:rPr>
          <w:rFonts w:ascii="Arial" w:hAnsi="Arial" w:cs="Arial"/>
          <w:b/>
        </w:rPr>
        <w:t>améliorations visibles dans l’</w:t>
      </w:r>
      <w:r w:rsidRPr="000D0645">
        <w:rPr>
          <w:rFonts w:ascii="Arial" w:hAnsi="Arial" w:cs="Arial"/>
          <w:b/>
        </w:rPr>
        <w:t>accès aux droits</w:t>
      </w:r>
    </w:p>
    <w:p w:rsidR="000D0645" w:rsidRPr="00A735F8" w:rsidRDefault="000D0645" w:rsidP="005A5184">
      <w:pPr>
        <w:jc w:val="center"/>
        <w:rPr>
          <w:rFonts w:ascii="Arial" w:hAnsi="Arial" w:cs="Arial"/>
        </w:rPr>
      </w:pPr>
    </w:p>
    <w:p w:rsidR="005A5184" w:rsidRDefault="005A5184" w:rsidP="005A5184">
      <w:pPr>
        <w:tabs>
          <w:tab w:val="num" w:pos="720"/>
        </w:tabs>
        <w:spacing w:after="160" w:line="254" w:lineRule="auto"/>
        <w:jc w:val="both"/>
        <w:rPr>
          <w:rFonts w:asciiTheme="minorHAnsi" w:hAnsiTheme="minorHAnsi" w:cstheme="minorBidi"/>
          <w:bCs/>
        </w:rPr>
      </w:pPr>
      <w:r w:rsidRPr="00BC5EC7">
        <w:rPr>
          <w:rFonts w:asciiTheme="minorHAnsi" w:hAnsiTheme="minorHAnsi" w:cstheme="minorBidi"/>
          <w:bCs/>
        </w:rPr>
        <w:t xml:space="preserve">Dans le cadre de la Conférence Nationale du Handicap </w:t>
      </w:r>
      <w:r>
        <w:rPr>
          <w:rFonts w:asciiTheme="minorHAnsi" w:hAnsiTheme="minorHAnsi" w:cstheme="minorBidi"/>
          <w:bCs/>
        </w:rPr>
        <w:t xml:space="preserve">(CNH) </w:t>
      </w:r>
      <w:r w:rsidRPr="00BC5EC7">
        <w:rPr>
          <w:rFonts w:asciiTheme="minorHAnsi" w:hAnsiTheme="minorHAnsi" w:cstheme="minorBidi"/>
          <w:bCs/>
        </w:rPr>
        <w:t>du 11 février 2020, un accord de méthode inédit a</w:t>
      </w:r>
      <w:r>
        <w:rPr>
          <w:rFonts w:asciiTheme="minorHAnsi" w:hAnsiTheme="minorHAnsi" w:cstheme="minorBidi"/>
          <w:bCs/>
        </w:rPr>
        <w:t xml:space="preserve"> </w:t>
      </w:r>
      <w:r w:rsidRPr="00BC5EC7">
        <w:rPr>
          <w:rFonts w:asciiTheme="minorHAnsi" w:hAnsiTheme="minorHAnsi" w:cstheme="minorBidi"/>
          <w:bCs/>
        </w:rPr>
        <w:t xml:space="preserve">été signé entre l’Etat et l’Assemblée des départements de </w:t>
      </w:r>
      <w:r>
        <w:rPr>
          <w:rFonts w:asciiTheme="minorHAnsi" w:hAnsiTheme="minorHAnsi" w:cstheme="minorBidi"/>
          <w:bCs/>
        </w:rPr>
        <w:t xml:space="preserve">France (ADF) </w:t>
      </w:r>
      <w:r w:rsidRPr="00BC5EC7">
        <w:rPr>
          <w:rFonts w:asciiTheme="minorHAnsi" w:hAnsiTheme="minorHAnsi" w:cstheme="minorBidi"/>
          <w:bCs/>
        </w:rPr>
        <w:t>pour optimiser de façon significative, sous deux ans, le pilotage et le fonctionnement des M</w:t>
      </w:r>
      <w:r>
        <w:rPr>
          <w:rFonts w:asciiTheme="minorHAnsi" w:hAnsiTheme="minorHAnsi" w:cstheme="minorBidi"/>
          <w:bCs/>
        </w:rPr>
        <w:t xml:space="preserve">aisons </w:t>
      </w:r>
      <w:r w:rsidRPr="00BC5EC7">
        <w:rPr>
          <w:rFonts w:asciiTheme="minorHAnsi" w:hAnsiTheme="minorHAnsi" w:cstheme="minorBidi"/>
          <w:bCs/>
        </w:rPr>
        <w:t>D</w:t>
      </w:r>
      <w:r>
        <w:rPr>
          <w:rFonts w:asciiTheme="minorHAnsi" w:hAnsiTheme="minorHAnsi" w:cstheme="minorBidi"/>
          <w:bCs/>
        </w:rPr>
        <w:t xml:space="preserve">épartementales des </w:t>
      </w:r>
      <w:r w:rsidRPr="00BC5EC7">
        <w:rPr>
          <w:rFonts w:asciiTheme="minorHAnsi" w:hAnsiTheme="minorHAnsi" w:cstheme="minorBidi"/>
          <w:bCs/>
        </w:rPr>
        <w:t>P</w:t>
      </w:r>
      <w:r>
        <w:rPr>
          <w:rFonts w:asciiTheme="minorHAnsi" w:hAnsiTheme="minorHAnsi" w:cstheme="minorBidi"/>
          <w:bCs/>
        </w:rPr>
        <w:t xml:space="preserve">ersonnes </w:t>
      </w:r>
      <w:r w:rsidRPr="00BC5EC7">
        <w:rPr>
          <w:rFonts w:asciiTheme="minorHAnsi" w:hAnsiTheme="minorHAnsi" w:cstheme="minorBidi"/>
          <w:bCs/>
        </w:rPr>
        <w:t>H</w:t>
      </w:r>
      <w:r>
        <w:rPr>
          <w:rFonts w:asciiTheme="minorHAnsi" w:hAnsiTheme="minorHAnsi" w:cstheme="minorBidi"/>
          <w:bCs/>
        </w:rPr>
        <w:t>andicapées (MDPH)</w:t>
      </w:r>
      <w:r w:rsidRPr="00BC5EC7">
        <w:rPr>
          <w:rFonts w:asciiTheme="minorHAnsi" w:hAnsiTheme="minorHAnsi" w:cstheme="minorBidi"/>
          <w:bCs/>
        </w:rPr>
        <w:t xml:space="preserve">. </w:t>
      </w:r>
    </w:p>
    <w:p w:rsidR="005A5184" w:rsidRDefault="005A5184" w:rsidP="005A5184">
      <w:pPr>
        <w:tabs>
          <w:tab w:val="num" w:pos="720"/>
        </w:tabs>
        <w:spacing w:after="160" w:line="254" w:lineRule="auto"/>
        <w:jc w:val="both"/>
        <w:rPr>
          <w:rFonts w:asciiTheme="minorHAnsi" w:hAnsiTheme="minorHAnsi" w:cstheme="minorBidi"/>
          <w:bCs/>
        </w:rPr>
      </w:pPr>
      <w:proofErr w:type="spellStart"/>
      <w:r w:rsidRPr="00BC5EC7">
        <w:rPr>
          <w:rFonts w:asciiTheme="minorHAnsi" w:hAnsiTheme="minorHAnsi" w:cstheme="minorBidi"/>
          <w:bCs/>
        </w:rPr>
        <w:t>Co-portée</w:t>
      </w:r>
      <w:proofErr w:type="spellEnd"/>
      <w:r w:rsidRPr="00BC5EC7">
        <w:rPr>
          <w:rFonts w:asciiTheme="minorHAnsi" w:hAnsiTheme="minorHAnsi" w:cstheme="minorBidi"/>
          <w:bCs/>
        </w:rPr>
        <w:t xml:space="preserve"> </w:t>
      </w:r>
      <w:r w:rsidRPr="00CF70FB">
        <w:rPr>
          <w:rFonts w:asciiTheme="minorHAnsi" w:hAnsiTheme="minorHAnsi" w:cstheme="minorBidi"/>
          <w:bCs/>
        </w:rPr>
        <w:t xml:space="preserve">dans sa vision d’ensemble et son déploiement par l’Etat et l’Assemblée des Départements de France, la </w:t>
      </w:r>
      <w:r w:rsidRPr="00CF70FB">
        <w:rPr>
          <w:rFonts w:asciiTheme="minorHAnsi" w:hAnsiTheme="minorHAnsi" w:cstheme="minorBidi"/>
          <w:b/>
          <w:bCs/>
        </w:rPr>
        <w:t>feuille de route « MDPH 2022 »</w:t>
      </w:r>
      <w:r w:rsidRPr="00CF70FB">
        <w:rPr>
          <w:rFonts w:asciiTheme="minorHAnsi" w:hAnsiTheme="minorHAnsi" w:cstheme="minorBidi"/>
          <w:bCs/>
        </w:rPr>
        <w:t xml:space="preserve"> fait de la maîtrise des délais de traitement et de l’accélération de l’attribution des droits à vie deux enjeux</w:t>
      </w:r>
      <w:r>
        <w:rPr>
          <w:rFonts w:asciiTheme="minorHAnsi" w:hAnsiTheme="minorHAnsi" w:cstheme="minorBidi"/>
          <w:bCs/>
        </w:rPr>
        <w:t xml:space="preserve"> majeurs. </w:t>
      </w:r>
    </w:p>
    <w:p w:rsidR="005A5184" w:rsidRDefault="005A5184" w:rsidP="005A5184">
      <w:pPr>
        <w:tabs>
          <w:tab w:val="num" w:pos="720"/>
        </w:tabs>
        <w:spacing w:after="160" w:line="254" w:lineRule="auto"/>
        <w:jc w:val="both"/>
        <w:rPr>
          <w:rFonts w:asciiTheme="minorHAnsi" w:hAnsiTheme="minorHAnsi" w:cstheme="minorBidi"/>
          <w:bCs/>
        </w:rPr>
      </w:pPr>
      <w:r w:rsidRPr="009E25F7">
        <w:rPr>
          <w:rFonts w:asciiTheme="minorHAnsi" w:hAnsiTheme="minorHAnsi" w:cstheme="minorBidi"/>
          <w:bCs/>
        </w:rPr>
        <w:t>Ce plan d’actions et de transformation répond</w:t>
      </w:r>
      <w:r>
        <w:rPr>
          <w:rFonts w:asciiTheme="minorHAnsi" w:hAnsiTheme="minorHAnsi" w:cstheme="minorBidi"/>
          <w:bCs/>
        </w:rPr>
        <w:t xml:space="preserve"> également</w:t>
      </w:r>
      <w:r w:rsidRPr="009E25F7">
        <w:rPr>
          <w:rFonts w:asciiTheme="minorHAnsi" w:hAnsiTheme="minorHAnsi" w:cstheme="minorBidi"/>
          <w:bCs/>
        </w:rPr>
        <w:t xml:space="preserve"> à un </w:t>
      </w:r>
      <w:r w:rsidRPr="006749F6">
        <w:rPr>
          <w:rFonts w:asciiTheme="minorHAnsi" w:hAnsiTheme="minorHAnsi" w:cstheme="minorBidi"/>
          <w:b/>
        </w:rPr>
        <w:t xml:space="preserve">objectif fondamental de transparence vis-à-vis des personnes et des </w:t>
      </w:r>
      <w:r>
        <w:rPr>
          <w:rFonts w:asciiTheme="minorHAnsi" w:hAnsiTheme="minorHAnsi" w:cstheme="minorBidi"/>
          <w:b/>
        </w:rPr>
        <w:t>aidants</w:t>
      </w:r>
      <w:r w:rsidRPr="009E25F7">
        <w:rPr>
          <w:rFonts w:asciiTheme="minorHAnsi" w:hAnsiTheme="minorHAnsi" w:cstheme="minorBidi"/>
          <w:bCs/>
        </w:rPr>
        <w:t xml:space="preserve">. C’est tout le sens du </w:t>
      </w:r>
      <w:r w:rsidRPr="006749F6">
        <w:rPr>
          <w:rFonts w:asciiTheme="minorHAnsi" w:hAnsiTheme="minorHAnsi" w:cstheme="minorBidi"/>
          <w:b/>
        </w:rPr>
        <w:t>baromètre</w:t>
      </w:r>
      <w:r w:rsidRPr="009E25F7">
        <w:rPr>
          <w:rFonts w:asciiTheme="minorHAnsi" w:hAnsiTheme="minorHAnsi" w:cstheme="minorBidi"/>
          <w:bCs/>
        </w:rPr>
        <w:t xml:space="preserve"> qui a été lancé en octobre 2020 et qui donne une pleine visibilité, département par département, sur les indicateurs clés des MDPH.  </w:t>
      </w:r>
    </w:p>
    <w:p w:rsidR="005A5184" w:rsidRPr="005A5184" w:rsidRDefault="005A5184" w:rsidP="005A5184">
      <w:pPr>
        <w:tabs>
          <w:tab w:val="left" w:pos="6521"/>
        </w:tabs>
        <w:spacing w:line="254" w:lineRule="auto"/>
        <w:jc w:val="both"/>
        <w:rPr>
          <w:rFonts w:asciiTheme="minorHAnsi" w:hAnsiTheme="minorHAnsi" w:cstheme="minorBidi"/>
          <w:b/>
          <w:bCs/>
        </w:rPr>
      </w:pPr>
      <w:r w:rsidRPr="005A5184">
        <w:rPr>
          <w:rFonts w:asciiTheme="minorHAnsi" w:hAnsiTheme="minorHAnsi" w:cstheme="minorBidi"/>
          <w:b/>
          <w:bCs/>
        </w:rPr>
        <w:t xml:space="preserve">Selon Sophie </w:t>
      </w:r>
      <w:proofErr w:type="spellStart"/>
      <w:r w:rsidRPr="005A5184">
        <w:rPr>
          <w:rFonts w:asciiTheme="minorHAnsi" w:hAnsiTheme="minorHAnsi" w:cstheme="minorBidi"/>
          <w:b/>
          <w:bCs/>
        </w:rPr>
        <w:t>Cluzel</w:t>
      </w:r>
      <w:proofErr w:type="spellEnd"/>
      <w:r w:rsidRPr="005A5184">
        <w:rPr>
          <w:rFonts w:asciiTheme="minorHAnsi" w:hAnsiTheme="minorHAnsi" w:cstheme="minorBidi"/>
          <w:b/>
          <w:bCs/>
        </w:rPr>
        <w:t>, « depuis 2017, le Gouvernement conduit une politique volontariste pour améliorer et simplifier durablement l’accès aux droits des personnes en situation de handicap et assurer une équité territoriale quel que soit le lieu de résidence des personnes. Avec la feuille de route « MDPH 2022 », toute notre action converge vers l’objectif de créer un service public d’accès aux droits plus simple, plus efficace et plus équitable. Car chaque citoyen, selon ses besoins, doit pouvoir obtenir une réponse de qualité sur l’ensemble de nos territoires. »</w:t>
      </w:r>
    </w:p>
    <w:p w:rsidR="005A5184" w:rsidRPr="0056734C" w:rsidRDefault="005A5184" w:rsidP="005A5184">
      <w:pPr>
        <w:tabs>
          <w:tab w:val="left" w:pos="6521"/>
        </w:tabs>
        <w:spacing w:line="254" w:lineRule="auto"/>
        <w:jc w:val="both"/>
        <w:rPr>
          <w:rFonts w:asciiTheme="minorHAnsi" w:hAnsiTheme="minorHAnsi" w:cstheme="minorBidi"/>
          <w:bCs/>
          <w:i/>
        </w:rPr>
      </w:pPr>
    </w:p>
    <w:p w:rsidR="005A5184" w:rsidRDefault="005A5184" w:rsidP="005A5184">
      <w:pPr>
        <w:tabs>
          <w:tab w:val="left" w:pos="6521"/>
        </w:tabs>
        <w:spacing w:line="254" w:lineRule="auto"/>
        <w:jc w:val="both"/>
        <w:rPr>
          <w:rFonts w:asciiTheme="minorHAnsi" w:hAnsiTheme="minorHAnsi" w:cstheme="minorBidi"/>
          <w:bCs/>
        </w:rPr>
      </w:pPr>
      <w:r>
        <w:rPr>
          <w:rFonts w:asciiTheme="minorHAnsi" w:hAnsiTheme="minorHAnsi" w:cstheme="minorBidi"/>
          <w:b/>
        </w:rPr>
        <w:t>U</w:t>
      </w:r>
      <w:r w:rsidRPr="00296E5A">
        <w:rPr>
          <w:rFonts w:asciiTheme="minorHAnsi" w:hAnsiTheme="minorHAnsi" w:cstheme="minorBidi"/>
          <w:b/>
        </w:rPr>
        <w:t>n</w:t>
      </w:r>
      <w:r>
        <w:rPr>
          <w:rFonts w:asciiTheme="minorHAnsi" w:hAnsiTheme="minorHAnsi" w:cstheme="minorBidi"/>
          <w:b/>
        </w:rPr>
        <w:t>e</w:t>
      </w:r>
      <w:r w:rsidRPr="00296E5A">
        <w:rPr>
          <w:rFonts w:asciiTheme="minorHAnsi" w:hAnsiTheme="minorHAnsi" w:cstheme="minorBidi"/>
          <w:b/>
        </w:rPr>
        <w:t xml:space="preserve"> deuxième </w:t>
      </w:r>
      <w:r>
        <w:rPr>
          <w:rFonts w:asciiTheme="minorHAnsi" w:hAnsiTheme="minorHAnsi" w:cstheme="minorBidi"/>
          <w:b/>
        </w:rPr>
        <w:t xml:space="preserve">édition </w:t>
      </w:r>
      <w:r w:rsidRPr="00296E5A">
        <w:rPr>
          <w:rFonts w:asciiTheme="minorHAnsi" w:hAnsiTheme="minorHAnsi" w:cstheme="minorBidi"/>
          <w:b/>
        </w:rPr>
        <w:t>du baromètre</w:t>
      </w:r>
      <w:r w:rsidRPr="00535DD2">
        <w:rPr>
          <w:rFonts w:asciiTheme="minorHAnsi" w:hAnsiTheme="minorHAnsi" w:cstheme="minorBidi"/>
          <w:bCs/>
        </w:rPr>
        <w:t xml:space="preserve"> est</w:t>
      </w:r>
      <w:r>
        <w:rPr>
          <w:rFonts w:asciiTheme="minorHAnsi" w:hAnsiTheme="minorHAnsi" w:cstheme="minorBidi"/>
          <w:bCs/>
        </w:rPr>
        <w:t xml:space="preserve"> </w:t>
      </w:r>
      <w:r w:rsidRPr="00535DD2">
        <w:rPr>
          <w:rFonts w:asciiTheme="minorHAnsi" w:hAnsiTheme="minorHAnsi" w:cstheme="minorBidi"/>
          <w:bCs/>
        </w:rPr>
        <w:t>publié</w:t>
      </w:r>
      <w:r>
        <w:rPr>
          <w:rFonts w:asciiTheme="minorHAnsi" w:hAnsiTheme="minorHAnsi" w:cstheme="minorBidi"/>
          <w:bCs/>
        </w:rPr>
        <w:t>e ce jour</w:t>
      </w:r>
      <w:r w:rsidRPr="00535DD2">
        <w:rPr>
          <w:rFonts w:asciiTheme="minorHAnsi" w:hAnsiTheme="minorHAnsi" w:cstheme="minorBidi"/>
          <w:bCs/>
        </w:rPr>
        <w:t xml:space="preserve"> avec des données actualisées et enrichies</w:t>
      </w:r>
      <w:r>
        <w:rPr>
          <w:rFonts w:asciiTheme="minorHAnsi" w:hAnsiTheme="minorHAnsi" w:cstheme="minorBidi"/>
          <w:bCs/>
        </w:rPr>
        <w:t> :</w:t>
      </w:r>
    </w:p>
    <w:p w:rsidR="005A5184" w:rsidRPr="00017889" w:rsidRDefault="005A5184" w:rsidP="005A5184">
      <w:pPr>
        <w:pStyle w:val="Paragraphedeliste"/>
        <w:numPr>
          <w:ilvl w:val="0"/>
          <w:numId w:val="2"/>
        </w:numPr>
        <w:tabs>
          <w:tab w:val="left" w:pos="6521"/>
        </w:tabs>
        <w:spacing w:line="254" w:lineRule="auto"/>
        <w:jc w:val="both"/>
        <w:rPr>
          <w:rFonts w:asciiTheme="minorHAnsi" w:hAnsiTheme="minorHAnsi" w:cstheme="minorBidi"/>
          <w:bCs/>
        </w:rPr>
      </w:pPr>
      <w:r w:rsidRPr="00017889">
        <w:rPr>
          <w:rFonts w:asciiTheme="minorHAnsi" w:hAnsiTheme="minorHAnsi" w:cstheme="minorBidi"/>
          <w:bCs/>
        </w:rPr>
        <w:t xml:space="preserve">Les indicateurs relatifs aux </w:t>
      </w:r>
      <w:r w:rsidRPr="003E36BF">
        <w:rPr>
          <w:rFonts w:asciiTheme="minorHAnsi" w:hAnsiTheme="minorHAnsi" w:cstheme="minorBidi"/>
          <w:b/>
          <w:bCs/>
        </w:rPr>
        <w:t>droits à vie</w:t>
      </w:r>
      <w:r w:rsidRPr="003E36BF">
        <w:rPr>
          <w:rFonts w:asciiTheme="minorHAnsi" w:hAnsiTheme="minorHAnsi" w:cstheme="minorBidi"/>
          <w:bCs/>
        </w:rPr>
        <w:t xml:space="preserve"> </w:t>
      </w:r>
      <w:r w:rsidRPr="00017889">
        <w:rPr>
          <w:rFonts w:asciiTheme="minorHAnsi" w:hAnsiTheme="minorHAnsi" w:cstheme="minorBidi"/>
          <w:bCs/>
        </w:rPr>
        <w:t xml:space="preserve">et aux </w:t>
      </w:r>
      <w:r w:rsidRPr="003E36BF">
        <w:rPr>
          <w:rFonts w:asciiTheme="minorHAnsi" w:hAnsiTheme="minorHAnsi" w:cstheme="minorBidi"/>
          <w:b/>
          <w:bCs/>
        </w:rPr>
        <w:t>durées de traitements</w:t>
      </w:r>
      <w:r w:rsidRPr="00017889">
        <w:rPr>
          <w:rFonts w:asciiTheme="minorHAnsi" w:hAnsiTheme="minorHAnsi" w:cstheme="minorBidi"/>
          <w:bCs/>
        </w:rPr>
        <w:t xml:space="preserve"> concernent </w:t>
      </w:r>
      <w:r>
        <w:rPr>
          <w:rFonts w:asciiTheme="minorHAnsi" w:hAnsiTheme="minorHAnsi" w:cstheme="minorBidi"/>
          <w:bCs/>
        </w:rPr>
        <w:t>désormais</w:t>
      </w:r>
      <w:r w:rsidRPr="00017889">
        <w:rPr>
          <w:rFonts w:asciiTheme="minorHAnsi" w:hAnsiTheme="minorHAnsi" w:cstheme="minorBidi"/>
          <w:bCs/>
        </w:rPr>
        <w:t xml:space="preserve"> les informations du dernier trimestre 2020 et ceux </w:t>
      </w:r>
      <w:r>
        <w:rPr>
          <w:rFonts w:asciiTheme="minorHAnsi" w:hAnsiTheme="minorHAnsi" w:cstheme="minorBidi"/>
          <w:bCs/>
        </w:rPr>
        <w:t>relatifs à</w:t>
      </w:r>
      <w:r w:rsidRPr="00017889">
        <w:rPr>
          <w:rFonts w:asciiTheme="minorHAnsi" w:hAnsiTheme="minorHAnsi" w:cstheme="minorBidi"/>
          <w:bCs/>
        </w:rPr>
        <w:t xml:space="preserve"> la mesure de la satisfaction portent sur l’ensemble de l’année 2020. </w:t>
      </w:r>
    </w:p>
    <w:p w:rsidR="005A5184" w:rsidRPr="00017889" w:rsidRDefault="005A5184" w:rsidP="005A5184">
      <w:pPr>
        <w:pStyle w:val="Paragraphedeliste"/>
        <w:numPr>
          <w:ilvl w:val="0"/>
          <w:numId w:val="2"/>
        </w:numPr>
        <w:tabs>
          <w:tab w:val="left" w:pos="6521"/>
        </w:tabs>
        <w:spacing w:line="254" w:lineRule="auto"/>
        <w:jc w:val="both"/>
        <w:rPr>
          <w:rFonts w:asciiTheme="minorHAnsi" w:hAnsiTheme="minorHAnsi" w:cstheme="minorBidi"/>
          <w:bCs/>
        </w:rPr>
      </w:pPr>
      <w:r w:rsidRPr="00017889">
        <w:rPr>
          <w:rFonts w:asciiTheme="minorHAnsi" w:hAnsiTheme="minorHAnsi" w:cstheme="minorBidi"/>
          <w:bCs/>
        </w:rPr>
        <w:t xml:space="preserve">Le suivi du déploiement des droits à vie est complété par l’ajout d’un indicateur </w:t>
      </w:r>
      <w:r>
        <w:rPr>
          <w:rFonts w:asciiTheme="minorHAnsi" w:hAnsiTheme="minorHAnsi" w:cstheme="minorBidi"/>
          <w:bCs/>
        </w:rPr>
        <w:t xml:space="preserve">correspondant </w:t>
      </w:r>
      <w:r w:rsidRPr="003E36BF">
        <w:rPr>
          <w:rFonts w:asciiTheme="minorHAnsi" w:hAnsiTheme="minorHAnsi" w:cstheme="minorBidi"/>
          <w:b/>
          <w:bCs/>
        </w:rPr>
        <w:t>aux droits sans limitation de durée accordés pour la reconnaissance de la qualité de travailleur handicapé (RQTH).</w:t>
      </w:r>
    </w:p>
    <w:p w:rsidR="005A5184" w:rsidRPr="00A07284" w:rsidRDefault="005A5184" w:rsidP="005A5184">
      <w:pPr>
        <w:pStyle w:val="Paragraphedeliste"/>
        <w:numPr>
          <w:ilvl w:val="0"/>
          <w:numId w:val="2"/>
        </w:numPr>
        <w:tabs>
          <w:tab w:val="left" w:pos="6521"/>
        </w:tabs>
        <w:spacing w:line="254" w:lineRule="auto"/>
        <w:jc w:val="both"/>
        <w:rPr>
          <w:rFonts w:ascii="Times New Roman" w:eastAsia="Times New Roman" w:hAnsi="Times New Roman" w:cs="Times New Roman"/>
          <w:color w:val="000000"/>
          <w:lang w:eastAsia="fr-FR"/>
        </w:rPr>
      </w:pPr>
      <w:r w:rsidRPr="009A50ED">
        <w:rPr>
          <w:rFonts w:asciiTheme="minorHAnsi" w:hAnsiTheme="minorHAnsi" w:cstheme="minorBidi"/>
          <w:b/>
          <w:bCs/>
        </w:rPr>
        <w:t>Un nouveau thème centré sur le parcours des personnes</w:t>
      </w:r>
      <w:r w:rsidRPr="00017889">
        <w:rPr>
          <w:rFonts w:asciiTheme="minorHAnsi" w:hAnsiTheme="minorHAnsi" w:cstheme="minorBidi"/>
          <w:bCs/>
        </w:rPr>
        <w:t xml:space="preserve"> est </w:t>
      </w:r>
      <w:r>
        <w:rPr>
          <w:rFonts w:asciiTheme="minorHAnsi" w:hAnsiTheme="minorHAnsi" w:cstheme="minorBidi"/>
          <w:bCs/>
        </w:rPr>
        <w:t xml:space="preserve">aussi </w:t>
      </w:r>
      <w:r w:rsidRPr="00017889">
        <w:rPr>
          <w:rFonts w:asciiTheme="minorHAnsi" w:hAnsiTheme="minorHAnsi" w:cstheme="minorBidi"/>
          <w:bCs/>
        </w:rPr>
        <w:t xml:space="preserve">introduit avec la création d’un </w:t>
      </w:r>
      <w:r w:rsidRPr="009A50ED">
        <w:rPr>
          <w:rFonts w:asciiTheme="minorHAnsi" w:hAnsiTheme="minorHAnsi" w:cstheme="minorBidi"/>
          <w:b/>
          <w:bCs/>
        </w:rPr>
        <w:t>indicateur portant sur la durée moyenne des droits ouverts en matière de scolarisation</w:t>
      </w:r>
      <w:r>
        <w:rPr>
          <w:rFonts w:asciiTheme="minorHAnsi" w:hAnsiTheme="minorHAnsi" w:cstheme="minorBidi"/>
          <w:bCs/>
        </w:rPr>
        <w:t xml:space="preserve"> et</w:t>
      </w:r>
      <w:r w:rsidRPr="00017889">
        <w:rPr>
          <w:rFonts w:asciiTheme="minorHAnsi" w:hAnsiTheme="minorHAnsi" w:cstheme="minorBidi"/>
          <w:bCs/>
        </w:rPr>
        <w:t xml:space="preserve"> compre</w:t>
      </w:r>
      <w:r>
        <w:rPr>
          <w:rFonts w:asciiTheme="minorHAnsi" w:hAnsiTheme="minorHAnsi" w:cstheme="minorBidi"/>
          <w:bCs/>
        </w:rPr>
        <w:t>na</w:t>
      </w:r>
      <w:r w:rsidRPr="00017889">
        <w:rPr>
          <w:rFonts w:asciiTheme="minorHAnsi" w:hAnsiTheme="minorHAnsi" w:cstheme="minorBidi"/>
          <w:bCs/>
        </w:rPr>
        <w:t xml:space="preserve">nt à la fois </w:t>
      </w:r>
      <w:r w:rsidRPr="009A50ED">
        <w:rPr>
          <w:rFonts w:asciiTheme="minorHAnsi" w:hAnsiTheme="minorHAnsi" w:cstheme="minorBidi"/>
          <w:b/>
          <w:bCs/>
        </w:rPr>
        <w:t>les droits relatifs à l’orientation scolaire</w:t>
      </w:r>
      <w:r w:rsidRPr="00A07284">
        <w:rPr>
          <w:rFonts w:asciiTheme="minorHAnsi" w:hAnsiTheme="minorHAnsi" w:cstheme="minorBidi"/>
          <w:bCs/>
        </w:rPr>
        <w:t xml:space="preserve"> (classe ordinaire, unité d’enseignement pour l’inclusion scolaire…) et </w:t>
      </w:r>
      <w:r w:rsidRPr="009A50ED">
        <w:rPr>
          <w:rFonts w:asciiTheme="minorHAnsi" w:hAnsiTheme="minorHAnsi" w:cstheme="minorBidi"/>
          <w:b/>
          <w:bCs/>
        </w:rPr>
        <w:t>les mesures propres à assurer l’insertion scolaire</w:t>
      </w:r>
      <w:r w:rsidRPr="00A07284">
        <w:rPr>
          <w:rFonts w:asciiTheme="minorHAnsi" w:hAnsiTheme="minorHAnsi" w:cstheme="minorBidi"/>
          <w:bCs/>
        </w:rPr>
        <w:t xml:space="preserve"> (aide humaine et matériel pédagogique adapté). L’objectif est de mesurer ces droits ouverts</w:t>
      </w:r>
      <w:r>
        <w:rPr>
          <w:rFonts w:asciiTheme="minorHAnsi" w:hAnsiTheme="minorHAnsi" w:cstheme="minorBidi"/>
          <w:bCs/>
        </w:rPr>
        <w:t xml:space="preserve"> </w:t>
      </w:r>
      <w:r w:rsidRPr="00A07284">
        <w:rPr>
          <w:rFonts w:asciiTheme="minorHAnsi" w:hAnsiTheme="minorHAnsi" w:cstheme="minorBidi"/>
          <w:bCs/>
        </w:rPr>
        <w:t>pour la totalité de chacun des cycles de la maternelle à la fin du collège.</w:t>
      </w:r>
    </w:p>
    <w:p w:rsidR="005A5184" w:rsidRDefault="005A5184" w:rsidP="005A5184">
      <w:pPr>
        <w:tabs>
          <w:tab w:val="num" w:pos="720"/>
        </w:tabs>
        <w:spacing w:after="160" w:line="254" w:lineRule="auto"/>
        <w:jc w:val="both"/>
        <w:rPr>
          <w:rFonts w:asciiTheme="minorHAnsi" w:hAnsiTheme="minorHAnsi" w:cstheme="minorBidi"/>
          <w:bCs/>
        </w:rPr>
      </w:pPr>
    </w:p>
    <w:p w:rsidR="005A5184" w:rsidRDefault="005A5184" w:rsidP="005A5184">
      <w:pPr>
        <w:tabs>
          <w:tab w:val="num" w:pos="720"/>
        </w:tabs>
        <w:spacing w:after="160" w:line="254" w:lineRule="auto"/>
        <w:jc w:val="both"/>
        <w:rPr>
          <w:rFonts w:asciiTheme="minorHAnsi" w:hAnsiTheme="minorHAnsi" w:cstheme="minorBidi"/>
          <w:bCs/>
        </w:rPr>
      </w:pPr>
      <w:r>
        <w:rPr>
          <w:rFonts w:asciiTheme="minorHAnsi" w:hAnsiTheme="minorHAnsi" w:cstheme="minorBidi"/>
          <w:bCs/>
        </w:rPr>
        <w:lastRenderedPageBreak/>
        <w:t>L</w:t>
      </w:r>
      <w:r w:rsidRPr="009E25F7">
        <w:rPr>
          <w:rFonts w:asciiTheme="minorHAnsi" w:hAnsiTheme="minorHAnsi" w:cstheme="minorBidi"/>
          <w:bCs/>
        </w:rPr>
        <w:t>e baromètre</w:t>
      </w:r>
      <w:r>
        <w:rPr>
          <w:rFonts w:asciiTheme="minorHAnsi" w:hAnsiTheme="minorHAnsi" w:cstheme="minorBidi"/>
          <w:bCs/>
        </w:rPr>
        <w:t xml:space="preserve"> « MDPH 2022 »</w:t>
      </w:r>
      <w:r w:rsidRPr="009E25F7">
        <w:rPr>
          <w:rFonts w:asciiTheme="minorHAnsi" w:hAnsiTheme="minorHAnsi" w:cstheme="minorBidi"/>
          <w:bCs/>
        </w:rPr>
        <w:t xml:space="preserve"> est consultable sur le site de la CNSA : </w:t>
      </w:r>
      <w:hyperlink r:id="rId8" w:history="1">
        <w:r w:rsidRPr="00A80469">
          <w:rPr>
            <w:rStyle w:val="Lienhypertexte"/>
            <w:rFonts w:asciiTheme="minorHAnsi" w:hAnsiTheme="minorHAnsi" w:cstheme="minorBidi"/>
            <w:bCs/>
          </w:rPr>
          <w:t>https://www.cnsa.fr/vous-etes-une-personne-handicapee-ou-un-proche/barometre-des-maisons-departementales-des-personnes-handicapees</w:t>
        </w:r>
      </w:hyperlink>
      <w:r w:rsidRPr="009E25F7">
        <w:rPr>
          <w:rFonts w:asciiTheme="minorHAnsi" w:hAnsiTheme="minorHAnsi" w:cstheme="minorBidi"/>
          <w:bCs/>
        </w:rPr>
        <w:t>.</w:t>
      </w:r>
    </w:p>
    <w:p w:rsidR="005A5184" w:rsidRPr="00D74E4F" w:rsidRDefault="005A5184" w:rsidP="005A5184">
      <w:pPr>
        <w:spacing w:line="254" w:lineRule="auto"/>
        <w:jc w:val="both"/>
        <w:rPr>
          <w:rFonts w:asciiTheme="minorHAnsi" w:hAnsiTheme="minorHAnsi" w:cstheme="minorBidi"/>
          <w:bCs/>
        </w:rPr>
      </w:pPr>
      <w:r>
        <w:rPr>
          <w:rFonts w:asciiTheme="minorHAnsi" w:hAnsiTheme="minorHAnsi" w:cstheme="minorBidi"/>
          <w:bCs/>
        </w:rPr>
        <w:t>Ce dispositif</w:t>
      </w:r>
      <w:r w:rsidRPr="009E25F7">
        <w:rPr>
          <w:rFonts w:asciiTheme="minorHAnsi" w:hAnsiTheme="minorHAnsi" w:cstheme="minorBidi"/>
          <w:bCs/>
        </w:rPr>
        <w:t xml:space="preserve"> permet à tous les citoyens de </w:t>
      </w:r>
      <w:r>
        <w:rPr>
          <w:rFonts w:asciiTheme="minorHAnsi" w:hAnsiTheme="minorHAnsi" w:cstheme="minorBidi"/>
          <w:bCs/>
        </w:rPr>
        <w:t>suivre l’impact de l’action du G</w:t>
      </w:r>
      <w:r w:rsidRPr="009E25F7">
        <w:rPr>
          <w:rFonts w:asciiTheme="minorHAnsi" w:hAnsiTheme="minorHAnsi" w:cstheme="minorBidi"/>
          <w:bCs/>
        </w:rPr>
        <w:t>ouvernement et favorise une dynamique positive entre les territoires. Outil de confiance et de transparence au bénéfice des usagers comme des professionnels, le baromètre MDPH a vocation à être actualis</w:t>
      </w:r>
      <w:r>
        <w:rPr>
          <w:rFonts w:asciiTheme="minorHAnsi" w:hAnsiTheme="minorHAnsi" w:cstheme="minorBidi"/>
          <w:bCs/>
        </w:rPr>
        <w:t xml:space="preserve">é et publié tous les trimestres et permet </w:t>
      </w:r>
      <w:r w:rsidRPr="00D74E4F">
        <w:rPr>
          <w:rFonts w:asciiTheme="minorHAnsi" w:hAnsiTheme="minorHAnsi" w:cstheme="minorBidi"/>
          <w:bCs/>
        </w:rPr>
        <w:t>d’évaluer :</w:t>
      </w:r>
    </w:p>
    <w:p w:rsidR="005A5184" w:rsidRPr="00D74E4F" w:rsidRDefault="005A5184" w:rsidP="005A5184">
      <w:pPr>
        <w:pStyle w:val="Paragraphedeliste"/>
        <w:numPr>
          <w:ilvl w:val="0"/>
          <w:numId w:val="1"/>
        </w:numPr>
        <w:tabs>
          <w:tab w:val="left" w:pos="6521"/>
        </w:tabs>
        <w:spacing w:line="254" w:lineRule="auto"/>
        <w:jc w:val="both"/>
        <w:rPr>
          <w:rFonts w:asciiTheme="minorHAnsi" w:hAnsiTheme="minorHAnsi" w:cstheme="minorBidi"/>
          <w:bCs/>
        </w:rPr>
      </w:pPr>
      <w:r w:rsidRPr="00D74E4F">
        <w:rPr>
          <w:rFonts w:asciiTheme="minorHAnsi" w:hAnsiTheme="minorHAnsi" w:cstheme="minorBidi"/>
          <w:bCs/>
        </w:rPr>
        <w:t>La part des droits sans limitation de durée (droits à vie) accordés aux personnes dans l'ensemble des droits ouverts par chaque MDPH</w:t>
      </w:r>
    </w:p>
    <w:p w:rsidR="005A5184" w:rsidRDefault="005A5184" w:rsidP="005A5184">
      <w:pPr>
        <w:pStyle w:val="Paragraphedeliste"/>
        <w:numPr>
          <w:ilvl w:val="0"/>
          <w:numId w:val="1"/>
        </w:numPr>
        <w:tabs>
          <w:tab w:val="left" w:pos="6521"/>
        </w:tabs>
        <w:spacing w:line="254" w:lineRule="auto"/>
        <w:jc w:val="both"/>
        <w:rPr>
          <w:rFonts w:asciiTheme="minorHAnsi" w:hAnsiTheme="minorHAnsi" w:cstheme="minorBidi"/>
          <w:bCs/>
        </w:rPr>
      </w:pPr>
      <w:r w:rsidRPr="00D74E4F">
        <w:rPr>
          <w:rFonts w:asciiTheme="minorHAnsi" w:hAnsiTheme="minorHAnsi" w:cstheme="minorBidi"/>
          <w:bCs/>
        </w:rPr>
        <w:t>La durée de traitement des demandes dans chaque MDPH</w:t>
      </w:r>
    </w:p>
    <w:p w:rsidR="005A5184" w:rsidRPr="00081F2B" w:rsidRDefault="005A5184" w:rsidP="005A5184">
      <w:pPr>
        <w:pStyle w:val="Paragraphedeliste"/>
        <w:numPr>
          <w:ilvl w:val="0"/>
          <w:numId w:val="1"/>
        </w:numPr>
        <w:rPr>
          <w:rFonts w:asciiTheme="minorHAnsi" w:hAnsiTheme="minorHAnsi" w:cstheme="minorBidi"/>
          <w:bCs/>
        </w:rPr>
      </w:pPr>
      <w:r w:rsidRPr="00081F2B">
        <w:rPr>
          <w:rFonts w:asciiTheme="minorHAnsi" w:hAnsiTheme="minorHAnsi" w:cstheme="minorBidi"/>
          <w:bCs/>
        </w:rPr>
        <w:t>Le parcours des personnes à travers les droits ouverts en matière de scolarisation par les MDPH</w:t>
      </w:r>
    </w:p>
    <w:p w:rsidR="005A5184" w:rsidRPr="00D74E4F" w:rsidRDefault="005A5184" w:rsidP="005A5184">
      <w:pPr>
        <w:pStyle w:val="Paragraphedeliste"/>
        <w:numPr>
          <w:ilvl w:val="0"/>
          <w:numId w:val="1"/>
        </w:numPr>
        <w:tabs>
          <w:tab w:val="left" w:pos="6521"/>
        </w:tabs>
        <w:spacing w:line="254" w:lineRule="auto"/>
        <w:jc w:val="both"/>
        <w:rPr>
          <w:rFonts w:asciiTheme="minorHAnsi" w:hAnsiTheme="minorHAnsi" w:cstheme="minorBidi"/>
          <w:bCs/>
        </w:rPr>
      </w:pPr>
      <w:r w:rsidRPr="00D74E4F">
        <w:rPr>
          <w:rFonts w:asciiTheme="minorHAnsi" w:hAnsiTheme="minorHAnsi" w:cstheme="minorBidi"/>
          <w:bCs/>
        </w:rPr>
        <w:t>L'intensité de l'activité de chaque MDPH</w:t>
      </w:r>
    </w:p>
    <w:p w:rsidR="005A5184" w:rsidRDefault="005A5184" w:rsidP="005A5184">
      <w:pPr>
        <w:pStyle w:val="Paragraphedeliste"/>
        <w:numPr>
          <w:ilvl w:val="0"/>
          <w:numId w:val="1"/>
        </w:numPr>
        <w:tabs>
          <w:tab w:val="left" w:pos="6521"/>
        </w:tabs>
        <w:spacing w:line="254" w:lineRule="auto"/>
        <w:jc w:val="both"/>
        <w:rPr>
          <w:rFonts w:asciiTheme="minorHAnsi" w:hAnsiTheme="minorHAnsi" w:cstheme="minorBidi"/>
          <w:bCs/>
        </w:rPr>
      </w:pPr>
      <w:r w:rsidRPr="00D74E4F">
        <w:rPr>
          <w:rFonts w:asciiTheme="minorHAnsi" w:hAnsiTheme="minorHAnsi" w:cstheme="minorBidi"/>
          <w:bCs/>
        </w:rPr>
        <w:t>Le taux de satisfaction des personnes à l'égard de leur MDPH</w:t>
      </w:r>
    </w:p>
    <w:p w:rsidR="005A5184" w:rsidRDefault="005A5184" w:rsidP="005A5184">
      <w:pPr>
        <w:tabs>
          <w:tab w:val="left" w:pos="6521"/>
        </w:tabs>
        <w:spacing w:line="254" w:lineRule="auto"/>
        <w:jc w:val="both"/>
        <w:rPr>
          <w:highlight w:val="yellow"/>
          <w:lang w:eastAsia="fr-FR"/>
        </w:rPr>
      </w:pPr>
    </w:p>
    <w:p w:rsidR="005A5184" w:rsidRPr="00884BE1" w:rsidRDefault="005A5184" w:rsidP="005A5184">
      <w:pPr>
        <w:tabs>
          <w:tab w:val="left" w:pos="6521"/>
        </w:tabs>
        <w:spacing w:line="254" w:lineRule="auto"/>
        <w:jc w:val="both"/>
        <w:rPr>
          <w:lang w:eastAsia="fr-FR"/>
        </w:rPr>
      </w:pPr>
      <w:r w:rsidRPr="00CB4A4C">
        <w:rPr>
          <w:lang w:eastAsia="fr-FR"/>
        </w:rPr>
        <w:t xml:space="preserve">Concernant </w:t>
      </w:r>
      <w:r w:rsidRPr="007E4695">
        <w:rPr>
          <w:b/>
          <w:u w:val="single"/>
          <w:lang w:eastAsia="fr-FR"/>
        </w:rPr>
        <w:t>l’attribution des droits sans limitation de durée</w:t>
      </w:r>
      <w:r w:rsidRPr="00CB4A4C">
        <w:rPr>
          <w:lang w:eastAsia="fr-FR"/>
        </w:rPr>
        <w:t xml:space="preserve">, l’objectif est de les déployer de façon systématique sur l’ensemble des départements, que ce soit dans le cadre de premières demandes ou de droits déjà ouverts pour certains bénéficiaires. 94.000 </w:t>
      </w:r>
      <w:r w:rsidRPr="00884BE1">
        <w:rPr>
          <w:lang w:eastAsia="fr-FR"/>
        </w:rPr>
        <w:t xml:space="preserve">personnes se sont d’ores et déjà vu attribuer l’allocation aux adultes handicapés (AAH) à vie entre janvier 2019 et décembre 2020. </w:t>
      </w:r>
      <w:r w:rsidRPr="00D31227">
        <w:rPr>
          <w:b/>
          <w:lang w:eastAsia="fr-FR"/>
        </w:rPr>
        <w:t>La part des droits accordés à vie accordés au titre de l'AAH est ainsi passée de 25% en 2019 à environ 60 % à la fin 2020 avec une progression de la part des décisions sans limitation de durée dans près de 80 MDPH</w:t>
      </w:r>
      <w:r w:rsidRPr="00884BE1">
        <w:rPr>
          <w:lang w:eastAsia="fr-FR"/>
        </w:rPr>
        <w:t>.</w:t>
      </w:r>
    </w:p>
    <w:p w:rsidR="005A5184" w:rsidRPr="00884BE1" w:rsidRDefault="005A5184" w:rsidP="005A5184">
      <w:pPr>
        <w:tabs>
          <w:tab w:val="left" w:pos="6521"/>
        </w:tabs>
        <w:spacing w:line="254" w:lineRule="auto"/>
        <w:jc w:val="both"/>
        <w:rPr>
          <w:lang w:eastAsia="fr-FR"/>
        </w:rPr>
      </w:pPr>
    </w:p>
    <w:p w:rsidR="005A5184" w:rsidRPr="00884BE1" w:rsidRDefault="005A5184" w:rsidP="005A5184">
      <w:pPr>
        <w:tabs>
          <w:tab w:val="left" w:pos="6521"/>
        </w:tabs>
        <w:spacing w:line="254" w:lineRule="auto"/>
        <w:jc w:val="both"/>
        <w:rPr>
          <w:lang w:eastAsia="fr-FR"/>
        </w:rPr>
      </w:pPr>
      <w:r w:rsidRPr="00884BE1">
        <w:rPr>
          <w:lang w:eastAsia="fr-FR"/>
        </w:rPr>
        <w:t xml:space="preserve">De même, 937 000 cartes mobilité inclusion (CMI) ont été accordées sans limitation de durée entre janvier 2019 et décembre 2020 avec </w:t>
      </w:r>
      <w:r w:rsidRPr="00D31227">
        <w:rPr>
          <w:b/>
          <w:lang w:eastAsia="fr-FR"/>
        </w:rPr>
        <w:t>un taux d’accord supérieur à 50 % au cours du dernier trimestre 2020 dans 83 MDPH pour la CMI invalidité</w:t>
      </w:r>
      <w:r w:rsidRPr="00884BE1">
        <w:rPr>
          <w:lang w:eastAsia="fr-FR"/>
        </w:rPr>
        <w:t>.</w:t>
      </w:r>
    </w:p>
    <w:p w:rsidR="005A5184" w:rsidRPr="00884BE1" w:rsidRDefault="005A5184" w:rsidP="005A5184">
      <w:pPr>
        <w:tabs>
          <w:tab w:val="left" w:pos="6521"/>
        </w:tabs>
        <w:spacing w:line="254" w:lineRule="auto"/>
        <w:jc w:val="both"/>
        <w:rPr>
          <w:lang w:eastAsia="fr-FR"/>
        </w:rPr>
      </w:pPr>
    </w:p>
    <w:p w:rsidR="005A5184" w:rsidRPr="00884BE1" w:rsidRDefault="005A5184" w:rsidP="005A5184">
      <w:pPr>
        <w:tabs>
          <w:tab w:val="left" w:pos="6521"/>
        </w:tabs>
        <w:spacing w:line="254" w:lineRule="auto"/>
        <w:jc w:val="both"/>
        <w:rPr>
          <w:lang w:eastAsia="fr-FR"/>
        </w:rPr>
      </w:pPr>
      <w:r w:rsidRPr="00884BE1">
        <w:rPr>
          <w:lang w:eastAsia="fr-FR"/>
        </w:rPr>
        <w:t xml:space="preserve">Concernant </w:t>
      </w:r>
      <w:r w:rsidRPr="00884BE1">
        <w:rPr>
          <w:b/>
          <w:u w:val="single"/>
          <w:lang w:eastAsia="fr-FR"/>
        </w:rPr>
        <w:t>l’amélioration des réponses</w:t>
      </w:r>
      <w:r w:rsidRPr="00884BE1">
        <w:rPr>
          <w:lang w:eastAsia="fr-FR"/>
        </w:rPr>
        <w:t xml:space="preserve">, la durée moyenne de traitement est passée </w:t>
      </w:r>
      <w:r w:rsidRPr="00D31227">
        <w:rPr>
          <w:lang w:eastAsia="fr-FR"/>
        </w:rPr>
        <w:t>de</w:t>
      </w:r>
      <w:r w:rsidR="00A00381">
        <w:rPr>
          <w:b/>
          <w:lang w:eastAsia="fr-FR"/>
        </w:rPr>
        <w:t xml:space="preserve"> 4,6 mois </w:t>
      </w:r>
      <w:r w:rsidR="003A215C">
        <w:rPr>
          <w:b/>
          <w:lang w:eastAsia="fr-FR"/>
        </w:rPr>
        <w:br/>
      </w:r>
      <w:bookmarkStart w:id="0" w:name="_GoBack"/>
      <w:bookmarkEnd w:id="0"/>
      <w:r w:rsidR="00A00381">
        <w:rPr>
          <w:b/>
          <w:lang w:eastAsia="fr-FR"/>
        </w:rPr>
        <w:t xml:space="preserve">en 2019 à </w:t>
      </w:r>
      <w:r w:rsidRPr="00D31227">
        <w:rPr>
          <w:b/>
          <w:lang w:eastAsia="fr-FR"/>
        </w:rPr>
        <w:t>4,2 mois à la fin 2020</w:t>
      </w:r>
      <w:r w:rsidRPr="00884BE1">
        <w:rPr>
          <w:lang w:eastAsia="fr-FR"/>
        </w:rPr>
        <w:t xml:space="preserve">. </w:t>
      </w:r>
    </w:p>
    <w:p w:rsidR="005A5184" w:rsidRPr="00884BE1" w:rsidRDefault="005A5184" w:rsidP="005A5184">
      <w:pPr>
        <w:tabs>
          <w:tab w:val="left" w:pos="6521"/>
        </w:tabs>
        <w:spacing w:line="254" w:lineRule="auto"/>
        <w:jc w:val="both"/>
        <w:rPr>
          <w:lang w:eastAsia="fr-FR"/>
        </w:rPr>
      </w:pPr>
    </w:p>
    <w:p w:rsidR="005A5184" w:rsidRPr="00884BE1" w:rsidRDefault="005A5184" w:rsidP="005A5184">
      <w:pPr>
        <w:tabs>
          <w:tab w:val="left" w:pos="6521"/>
        </w:tabs>
        <w:spacing w:line="254" w:lineRule="auto"/>
        <w:jc w:val="both"/>
        <w:rPr>
          <w:lang w:eastAsia="fr-FR"/>
        </w:rPr>
      </w:pPr>
      <w:r w:rsidRPr="00884BE1">
        <w:rPr>
          <w:lang w:eastAsia="fr-FR"/>
        </w:rPr>
        <w:t xml:space="preserve">La durée moyenne de traitement pour les demandes </w:t>
      </w:r>
      <w:r w:rsidRPr="00D31227">
        <w:rPr>
          <w:lang w:eastAsia="fr-FR"/>
        </w:rPr>
        <w:t>d’</w:t>
      </w:r>
      <w:r w:rsidRPr="00D31227">
        <w:rPr>
          <w:b/>
          <w:lang w:eastAsia="fr-FR"/>
        </w:rPr>
        <w:t>Allocation Adulte Handicapé</w:t>
      </w:r>
      <w:r w:rsidRPr="00884BE1">
        <w:rPr>
          <w:lang w:eastAsia="fr-FR"/>
        </w:rPr>
        <w:t xml:space="preserve"> est quant à elle passée de </w:t>
      </w:r>
      <w:r w:rsidR="00A00381">
        <w:rPr>
          <w:b/>
          <w:lang w:eastAsia="fr-FR"/>
        </w:rPr>
        <w:t>4,8 mois en 2019 à</w:t>
      </w:r>
      <w:r w:rsidRPr="00D31227">
        <w:rPr>
          <w:b/>
          <w:lang w:eastAsia="fr-FR"/>
        </w:rPr>
        <w:t xml:space="preserve"> 4,1 mois à la fin 2020</w:t>
      </w:r>
      <w:r>
        <w:rPr>
          <w:lang w:eastAsia="fr-FR"/>
        </w:rPr>
        <w:t>. L’</w:t>
      </w:r>
      <w:r w:rsidRPr="00884BE1">
        <w:rPr>
          <w:lang w:eastAsia="fr-FR"/>
        </w:rPr>
        <w:t xml:space="preserve">objectif est de la </w:t>
      </w:r>
      <w:r w:rsidRPr="00D31227">
        <w:rPr>
          <w:b/>
          <w:lang w:eastAsia="fr-FR"/>
        </w:rPr>
        <w:t>réduire à 3 mois</w:t>
      </w:r>
      <w:r w:rsidRPr="00884BE1">
        <w:rPr>
          <w:lang w:eastAsia="fr-FR"/>
        </w:rPr>
        <w:t>, conformément à l’engagement du Président de la République lors de la C</w:t>
      </w:r>
      <w:r>
        <w:rPr>
          <w:lang w:eastAsia="fr-FR"/>
        </w:rPr>
        <w:t xml:space="preserve">onférence </w:t>
      </w:r>
      <w:r w:rsidRPr="00884BE1">
        <w:rPr>
          <w:lang w:eastAsia="fr-FR"/>
        </w:rPr>
        <w:t>N</w:t>
      </w:r>
      <w:r>
        <w:rPr>
          <w:lang w:eastAsia="fr-FR"/>
        </w:rPr>
        <w:t xml:space="preserve">ationale du </w:t>
      </w:r>
      <w:r w:rsidRPr="00884BE1">
        <w:rPr>
          <w:lang w:eastAsia="fr-FR"/>
        </w:rPr>
        <w:t>H</w:t>
      </w:r>
      <w:r>
        <w:rPr>
          <w:lang w:eastAsia="fr-FR"/>
        </w:rPr>
        <w:t>andicap le 11 février 2020</w:t>
      </w:r>
      <w:r w:rsidRPr="00884BE1">
        <w:rPr>
          <w:lang w:eastAsia="fr-FR"/>
        </w:rPr>
        <w:t>.</w:t>
      </w:r>
    </w:p>
    <w:p w:rsidR="005A5184" w:rsidRPr="00884BE1" w:rsidRDefault="005A5184" w:rsidP="005A5184">
      <w:pPr>
        <w:tabs>
          <w:tab w:val="left" w:pos="6521"/>
        </w:tabs>
        <w:spacing w:line="254" w:lineRule="auto"/>
        <w:jc w:val="both"/>
        <w:rPr>
          <w:lang w:eastAsia="fr-FR"/>
        </w:rPr>
      </w:pPr>
    </w:p>
    <w:p w:rsidR="005A5184" w:rsidRDefault="005A5184" w:rsidP="005A5184">
      <w:pPr>
        <w:tabs>
          <w:tab w:val="left" w:pos="6521"/>
        </w:tabs>
        <w:spacing w:line="254" w:lineRule="auto"/>
        <w:jc w:val="both"/>
        <w:rPr>
          <w:lang w:eastAsia="fr-FR"/>
        </w:rPr>
      </w:pPr>
      <w:r w:rsidRPr="00884BE1">
        <w:rPr>
          <w:lang w:eastAsia="fr-FR"/>
        </w:rPr>
        <w:t xml:space="preserve">Pour soutenir cette démarche et le déploiement de l’ensemble de la </w:t>
      </w:r>
      <w:r w:rsidRPr="00040DC5">
        <w:rPr>
          <w:lang w:eastAsia="fr-FR"/>
        </w:rPr>
        <w:t xml:space="preserve">feuille de route, l’Etat mobilise d’importants moyens financiers à hauteur </w:t>
      </w:r>
      <w:r>
        <w:rPr>
          <w:lang w:eastAsia="fr-FR"/>
        </w:rPr>
        <w:t xml:space="preserve">de </w:t>
      </w:r>
      <w:r w:rsidRPr="00040DC5">
        <w:rPr>
          <w:b/>
          <w:lang w:eastAsia="fr-FR"/>
        </w:rPr>
        <w:t>25 millions d’euros au total</w:t>
      </w:r>
      <w:r w:rsidRPr="00040DC5">
        <w:rPr>
          <w:lang w:eastAsia="fr-FR"/>
        </w:rPr>
        <w:t>, dont 10 millions d’euros seront spécifiquement consacrés au rattrapage des retards les plus importants dans le traitement des demandes.</w:t>
      </w:r>
    </w:p>
    <w:p w:rsidR="005A5184" w:rsidRDefault="005A5184" w:rsidP="005A5184">
      <w:pPr>
        <w:tabs>
          <w:tab w:val="left" w:pos="6521"/>
        </w:tabs>
        <w:spacing w:line="254" w:lineRule="auto"/>
        <w:jc w:val="both"/>
        <w:rPr>
          <w:lang w:eastAsia="fr-FR"/>
        </w:rPr>
      </w:pPr>
    </w:p>
    <w:p w:rsidR="005A5184" w:rsidRDefault="005A5184" w:rsidP="005A5184">
      <w:pPr>
        <w:tabs>
          <w:tab w:val="left" w:pos="6521"/>
        </w:tabs>
        <w:spacing w:line="254" w:lineRule="auto"/>
        <w:jc w:val="both"/>
        <w:rPr>
          <w:lang w:eastAsia="fr-FR"/>
        </w:rPr>
      </w:pPr>
      <w:r w:rsidRPr="00467ED2">
        <w:rPr>
          <w:lang w:eastAsia="fr-FR"/>
        </w:rPr>
        <w:t xml:space="preserve">Un </w:t>
      </w:r>
      <w:r w:rsidRPr="00756631">
        <w:rPr>
          <w:b/>
          <w:lang w:eastAsia="fr-FR"/>
        </w:rPr>
        <w:t>accompagnement personnalisé et renforcé de la CNSA</w:t>
      </w:r>
      <w:r>
        <w:rPr>
          <w:lang w:eastAsia="fr-FR"/>
        </w:rPr>
        <w:t xml:space="preserve">, par le biais d’une équipe mobile de </w:t>
      </w:r>
      <w:r w:rsidR="003A215C">
        <w:rPr>
          <w:lang w:eastAsia="fr-FR"/>
        </w:rPr>
        <w:br/>
      </w:r>
      <w:r>
        <w:rPr>
          <w:lang w:eastAsia="fr-FR"/>
        </w:rPr>
        <w:t xml:space="preserve">7 personnes, </w:t>
      </w:r>
      <w:r w:rsidRPr="00467ED2">
        <w:rPr>
          <w:lang w:eastAsia="fr-FR"/>
        </w:rPr>
        <w:t xml:space="preserve">est également prévu pour une vingtaine de MDPH qui en ont le plus besoin afin de les appuyer dans </w:t>
      </w:r>
      <w:r>
        <w:rPr>
          <w:lang w:eastAsia="fr-FR"/>
        </w:rPr>
        <w:t>le pilotage et la</w:t>
      </w:r>
      <w:r w:rsidRPr="00467ED2">
        <w:rPr>
          <w:lang w:eastAsia="fr-FR"/>
        </w:rPr>
        <w:t xml:space="preserve"> réalisation des projets identifiés dans l</w:t>
      </w:r>
      <w:r>
        <w:rPr>
          <w:lang w:eastAsia="fr-FR"/>
        </w:rPr>
        <w:t>eurs plans d’actions.</w:t>
      </w:r>
    </w:p>
    <w:p w:rsidR="005A5184" w:rsidRDefault="005A5184" w:rsidP="005A5184">
      <w:pPr>
        <w:tabs>
          <w:tab w:val="left" w:pos="6521"/>
        </w:tabs>
        <w:spacing w:line="254" w:lineRule="auto"/>
        <w:jc w:val="both"/>
        <w:rPr>
          <w:u w:val="single"/>
          <w:lang w:eastAsia="fr-FR"/>
        </w:rPr>
      </w:pPr>
    </w:p>
    <w:p w:rsidR="005A5184" w:rsidRPr="00A57FD6" w:rsidRDefault="005A5184" w:rsidP="005A5184">
      <w:pPr>
        <w:spacing w:before="240"/>
        <w:rPr>
          <w:rFonts w:ascii="Arial" w:hAnsi="Arial" w:cs="Arial"/>
        </w:rPr>
      </w:pPr>
      <w:r w:rsidRPr="00A57FD6">
        <w:rPr>
          <w:rFonts w:ascii="Arial" w:hAnsi="Arial" w:cs="Arial"/>
          <w:color w:val="000000" w:themeColor="text1"/>
        </w:rPr>
        <w:t>Contact presse Secrétariat d’Etat ch</w:t>
      </w:r>
      <w:r>
        <w:rPr>
          <w:rFonts w:ascii="Arial" w:hAnsi="Arial" w:cs="Arial"/>
          <w:color w:val="000000" w:themeColor="text1"/>
        </w:rPr>
        <w:t>argé des Personnes handicapées</w:t>
      </w:r>
    </w:p>
    <w:p w:rsidR="005A5184" w:rsidRDefault="003A215C" w:rsidP="005A5184">
      <w:pPr>
        <w:rPr>
          <w:rStyle w:val="Lienhypertexte"/>
          <w:rFonts w:ascii="Arial" w:hAnsi="Arial" w:cs="Arial"/>
          <w:b/>
        </w:rPr>
      </w:pPr>
      <w:hyperlink r:id="rId9" w:history="1">
        <w:r w:rsidR="005A5184" w:rsidRPr="00A57FD6">
          <w:rPr>
            <w:rStyle w:val="Lienhypertexte"/>
            <w:rFonts w:ascii="Arial" w:hAnsi="Arial" w:cs="Arial"/>
            <w:b/>
          </w:rPr>
          <w:t>seph.communication@pm.gouv.fr</w:t>
        </w:r>
      </w:hyperlink>
    </w:p>
    <w:p w:rsidR="005A5184" w:rsidRDefault="005A5184" w:rsidP="005A5184">
      <w:pPr>
        <w:tabs>
          <w:tab w:val="left" w:pos="6521"/>
        </w:tabs>
        <w:spacing w:line="254" w:lineRule="auto"/>
        <w:jc w:val="both"/>
        <w:rPr>
          <w:u w:val="single"/>
          <w:lang w:eastAsia="fr-FR"/>
        </w:rPr>
      </w:pPr>
    </w:p>
    <w:p w:rsidR="00642C48" w:rsidRDefault="00642C48"/>
    <w:sectPr w:rsidR="00642C4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6DD" w:rsidRDefault="00C606DD" w:rsidP="00C606DD">
      <w:r>
        <w:separator/>
      </w:r>
    </w:p>
  </w:endnote>
  <w:endnote w:type="continuationSeparator" w:id="0">
    <w:p w:rsidR="00C606DD" w:rsidRDefault="00C606DD" w:rsidP="00C60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256535"/>
      <w:docPartObj>
        <w:docPartGallery w:val="Page Numbers (Bottom of Page)"/>
        <w:docPartUnique/>
      </w:docPartObj>
    </w:sdtPr>
    <w:sdtEndPr/>
    <w:sdtContent>
      <w:p w:rsidR="00C606DD" w:rsidRDefault="00C606DD">
        <w:pPr>
          <w:pStyle w:val="Pieddepage"/>
          <w:jc w:val="right"/>
        </w:pPr>
        <w:r>
          <w:fldChar w:fldCharType="begin"/>
        </w:r>
        <w:r>
          <w:instrText>PAGE   \* MERGEFORMAT</w:instrText>
        </w:r>
        <w:r>
          <w:fldChar w:fldCharType="separate"/>
        </w:r>
        <w:r w:rsidR="003A215C">
          <w:rPr>
            <w:noProof/>
          </w:rPr>
          <w:t>2</w:t>
        </w:r>
        <w:r>
          <w:fldChar w:fldCharType="end"/>
        </w:r>
      </w:p>
    </w:sdtContent>
  </w:sdt>
  <w:p w:rsidR="00C606DD" w:rsidRDefault="00C606D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6DD" w:rsidRDefault="00C606DD" w:rsidP="00C606DD">
      <w:r>
        <w:separator/>
      </w:r>
    </w:p>
  </w:footnote>
  <w:footnote w:type="continuationSeparator" w:id="0">
    <w:p w:rsidR="00C606DD" w:rsidRDefault="00C606DD" w:rsidP="00C60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D11B4"/>
    <w:multiLevelType w:val="hybridMultilevel"/>
    <w:tmpl w:val="91863F68"/>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 w15:restartNumberingAfterBreak="0">
    <w:nsid w:val="59CE739B"/>
    <w:multiLevelType w:val="hybridMultilevel"/>
    <w:tmpl w:val="BA1E917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184"/>
    <w:rsid w:val="000D0645"/>
    <w:rsid w:val="003A215C"/>
    <w:rsid w:val="005A5184"/>
    <w:rsid w:val="00642C48"/>
    <w:rsid w:val="00A00381"/>
    <w:rsid w:val="00A57819"/>
    <w:rsid w:val="00C606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9C50A"/>
  <w15:chartTrackingRefBased/>
  <w15:docId w15:val="{6B0BE48F-6927-4820-ABF2-3FEDFE46F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184"/>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A5184"/>
    <w:pPr>
      <w:ind w:left="720"/>
      <w:contextualSpacing/>
    </w:pPr>
  </w:style>
  <w:style w:type="character" w:styleId="Lienhypertexte">
    <w:name w:val="Hyperlink"/>
    <w:basedOn w:val="Policepardfaut"/>
    <w:uiPriority w:val="99"/>
    <w:unhideWhenUsed/>
    <w:rsid w:val="005A5184"/>
    <w:rPr>
      <w:color w:val="0563C1" w:themeColor="hyperlink"/>
      <w:u w:val="single"/>
    </w:rPr>
  </w:style>
  <w:style w:type="paragraph" w:styleId="En-tte">
    <w:name w:val="header"/>
    <w:basedOn w:val="Normal"/>
    <w:link w:val="En-tteCar"/>
    <w:uiPriority w:val="99"/>
    <w:unhideWhenUsed/>
    <w:rsid w:val="00C606DD"/>
    <w:pPr>
      <w:tabs>
        <w:tab w:val="center" w:pos="4536"/>
        <w:tab w:val="right" w:pos="9072"/>
      </w:tabs>
    </w:pPr>
  </w:style>
  <w:style w:type="character" w:customStyle="1" w:styleId="En-tteCar">
    <w:name w:val="En-tête Car"/>
    <w:basedOn w:val="Policepardfaut"/>
    <w:link w:val="En-tte"/>
    <w:uiPriority w:val="99"/>
    <w:rsid w:val="00C606DD"/>
    <w:rPr>
      <w:rFonts w:ascii="Calibri" w:hAnsi="Calibri" w:cs="Calibri"/>
    </w:rPr>
  </w:style>
  <w:style w:type="paragraph" w:styleId="Pieddepage">
    <w:name w:val="footer"/>
    <w:basedOn w:val="Normal"/>
    <w:link w:val="PieddepageCar"/>
    <w:uiPriority w:val="99"/>
    <w:unhideWhenUsed/>
    <w:rsid w:val="00C606DD"/>
    <w:pPr>
      <w:tabs>
        <w:tab w:val="center" w:pos="4536"/>
        <w:tab w:val="right" w:pos="9072"/>
      </w:tabs>
    </w:pPr>
  </w:style>
  <w:style w:type="character" w:customStyle="1" w:styleId="PieddepageCar">
    <w:name w:val="Pied de page Car"/>
    <w:basedOn w:val="Policepardfaut"/>
    <w:link w:val="Pieddepage"/>
    <w:uiPriority w:val="99"/>
    <w:rsid w:val="00C606D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sa.fr/vous-etes-une-personne-handicapee-ou-un-proche/barometre-des-maisons-departementales-des-personnes-handicape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eph.communication@pm.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889</Words>
  <Characters>4894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PHARIENGAM-LAFOSSE Germaine</dc:creator>
  <cp:keywords/>
  <dc:description/>
  <cp:lastModifiedBy>LUNIAK Izabela</cp:lastModifiedBy>
  <cp:revision>5</cp:revision>
  <dcterms:created xsi:type="dcterms:W3CDTF">2021-03-03T15:56:00Z</dcterms:created>
  <dcterms:modified xsi:type="dcterms:W3CDTF">2021-03-04T08:11:00Z</dcterms:modified>
</cp:coreProperties>
</file>